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B94" w:rsidRDefault="00DF4B94" w:rsidP="00DF4B9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  <w:t xml:space="preserve">EVALUACIJSKI obrazac </w:t>
      </w:r>
    </w:p>
    <w:p w:rsidR="00DF4B94" w:rsidRDefault="00DF4B94" w:rsidP="00DF4B9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  <w:t>(PRILOG 4)</w:t>
      </w:r>
    </w:p>
    <w:p w:rsidR="00DF4B94" w:rsidRDefault="00DF4B94" w:rsidP="00DF4B9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8"/>
          <w:lang w:val="hr-HR"/>
        </w:rPr>
      </w:pP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Evaluacija će se provoditi u dva koraka. Zadovoljenje kriterija prvog koraka je preduslov drugostepene evaluacije.</w:t>
      </w: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Prvi korak evaluacije se odnosi na procjenu zadovoljenja administrativnih i tehničkih kriterija za prijavu a drugi procjenu kriterija kvaliteta.</w:t>
      </w:r>
    </w:p>
    <w:p w:rsidR="00DF4B94" w:rsidRDefault="00DF4B94" w:rsidP="00DF4B94">
      <w:pPr>
        <w:tabs>
          <w:tab w:val="left" w:pos="270"/>
          <w:tab w:val="center" w:pos="8640"/>
        </w:tabs>
        <w:spacing w:after="12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Nakon krajnjeg roka za predaju prijedloga projekata, članovi  Komisije će otvoriti sve prispjele prijedloge projekata i napraviti popis organizacija / ustanova koje su poslale aplikacije.</w:t>
      </w: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b/>
          <w:sz w:val="24"/>
          <w:szCs w:val="28"/>
          <w:lang w:val="hr-HR"/>
        </w:rPr>
      </w:pP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b/>
          <w:sz w:val="24"/>
          <w:szCs w:val="28"/>
          <w:lang w:val="hr-HR"/>
        </w:rPr>
      </w:pPr>
      <w:r>
        <w:rPr>
          <w:rFonts w:ascii="Times New Roman" w:eastAsia="Times New Roman" w:hAnsi="Times New Roman"/>
          <w:b/>
          <w:sz w:val="24"/>
          <w:szCs w:val="28"/>
          <w:lang w:val="hr-HR"/>
        </w:rPr>
        <w:t>Administrativni i tehnički kriteriji za prijavu</w:t>
      </w:r>
    </w:p>
    <w:p w:rsidR="00DF4B94" w:rsidRDefault="00DF4B94" w:rsidP="00DF4B94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Aplikacija je poslana na adresu Ministarstva u skladu sa rokovima navedenim u Konkursu, što dokazuje poštanski pečat. Ukoliko je aplikacija poslana nakon roka, aplikacija se ne uzima u razmatranje;</w:t>
      </w:r>
    </w:p>
    <w:p w:rsidR="00DF4B94" w:rsidRDefault="00DF4B94" w:rsidP="00DF4B94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Aplikacija je u potpunosti popunjena i sadrži svu obaveznu dokumentaciju traženu javnim konkursom, u suprotnom aplikacija se ne uzima u razmatranje;</w:t>
      </w:r>
    </w:p>
    <w:p w:rsidR="00DF4B94" w:rsidRDefault="00DF4B94" w:rsidP="00DF4B94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Aplikacija mora biti popunjena na računaru, u suprotnom će se smatrati neurednom i neće se uzeti u razmatranje.</w:t>
      </w:r>
    </w:p>
    <w:p w:rsidR="00DF4B94" w:rsidRDefault="00DF4B94" w:rsidP="00DF4B94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Aplikant zadovoljava kriterije iz sekcije „Ko može aplicirati na javni konkurs“. Ukoliko je pravni status aplikanta drugačiji od navedenih koji mogu aplicirati, aplikacija neće biti razmatrana;</w:t>
      </w:r>
    </w:p>
    <w:p w:rsidR="00DF4B94" w:rsidRDefault="00DF4B94" w:rsidP="00DF4B94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Ukoliko prijedlog projekta nije usklađen sa namjenom javnog konkursa, aplikacija neće biti razmatrana;</w:t>
      </w:r>
    </w:p>
    <w:p w:rsidR="00DF4B94" w:rsidRDefault="00DF4B94" w:rsidP="00DF4B94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Administrativnim troškovima smatraju se fiksni troškovi uredske organizacije/ ustanove te finansiranje ili sufinansiranje administrativnog osoblja.</w:t>
      </w:r>
    </w:p>
    <w:p w:rsidR="00DF4B94" w:rsidRDefault="00DF4B94" w:rsidP="00DF4B94">
      <w:pPr>
        <w:spacing w:after="120" w:line="276" w:lineRule="auto"/>
        <w:rPr>
          <w:rFonts w:ascii="Times New Roman" w:eastAsia="Times New Roman" w:hAnsi="Times New Roman"/>
          <w:sz w:val="24"/>
          <w:szCs w:val="28"/>
          <w:lang w:val="hr-HR"/>
        </w:rPr>
      </w:pPr>
    </w:p>
    <w:p w:rsidR="00DF4B94" w:rsidRDefault="00DF4B94" w:rsidP="00DF4B94">
      <w:pPr>
        <w:spacing w:after="120" w:line="276" w:lineRule="auto"/>
        <w:rPr>
          <w:rFonts w:ascii="Times New Roman" w:eastAsia="Times New Roman" w:hAnsi="Times New Roman"/>
          <w:b/>
          <w:sz w:val="24"/>
          <w:szCs w:val="28"/>
          <w:lang w:val="hr-HR"/>
        </w:rPr>
      </w:pPr>
      <w:r>
        <w:rPr>
          <w:rFonts w:ascii="Times New Roman" w:eastAsia="Times New Roman" w:hAnsi="Times New Roman"/>
          <w:b/>
          <w:sz w:val="24"/>
          <w:szCs w:val="28"/>
          <w:lang w:val="hr-HR"/>
        </w:rPr>
        <w:t>Kriteriji kvaliteta</w:t>
      </w:r>
    </w:p>
    <w:p w:rsidR="00DF4B94" w:rsidRDefault="00DF4B94" w:rsidP="00DF4B94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Evaluacija kvaliteta aplikacija, uključujući i predloženog utroška sredstava, kapaciteta aplikanta i partnera, će se provesti u skladu sa evaluacijskom tabelom  navedenom ispod. Evaluacijski kriteriji su podijeljeni u sekcije. Svaki projekat će pod svakom sekcijom biti ocijenjen.</w:t>
      </w:r>
    </w:p>
    <w:p w:rsidR="00DF4B94" w:rsidRDefault="00DF4B94" w:rsidP="00DF4B94">
      <w:pPr>
        <w:spacing w:after="120"/>
        <w:ind w:left="57"/>
        <w:jc w:val="both"/>
        <w:rPr>
          <w:rFonts w:ascii="Times New Roman" w:eastAsia="Times New Roman" w:hAnsi="Times New Roman"/>
          <w:b/>
          <w:sz w:val="24"/>
          <w:szCs w:val="28"/>
          <w:lang w:val="hr-HR"/>
        </w:rPr>
      </w:pP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b/>
          <w:sz w:val="24"/>
          <w:szCs w:val="28"/>
          <w:lang w:val="hr-HR"/>
        </w:rPr>
      </w:pPr>
      <w:r>
        <w:rPr>
          <w:rFonts w:ascii="Times New Roman" w:eastAsia="Times New Roman" w:hAnsi="Times New Roman"/>
          <w:b/>
          <w:sz w:val="24"/>
          <w:szCs w:val="28"/>
          <w:lang w:val="hr-HR"/>
        </w:rPr>
        <w:t>Evaluacijska tabela</w:t>
      </w:r>
    </w:p>
    <w:p w:rsidR="00DF4B94" w:rsidRDefault="00DF4B94" w:rsidP="00DF4B94">
      <w:pPr>
        <w:spacing w:after="120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Aplikant:__________________________________________________</w:t>
      </w:r>
    </w:p>
    <w:p w:rsidR="00DF4B94" w:rsidRDefault="00DF4B94" w:rsidP="00DF4B94">
      <w:pPr>
        <w:spacing w:after="120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Naziv projekta:_____________________________________________</w:t>
      </w:r>
    </w:p>
    <w:p w:rsidR="00DF4B94" w:rsidRDefault="00DF4B94" w:rsidP="00DF4B94">
      <w:pPr>
        <w:spacing w:after="120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Datum:___________________________________________________</w:t>
      </w:r>
    </w:p>
    <w:p w:rsidR="00DF4B94" w:rsidRDefault="00DF4B94" w:rsidP="00DF4B94">
      <w:pPr>
        <w:spacing w:after="120"/>
        <w:ind w:left="57"/>
        <w:jc w:val="both"/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spacing w:after="120"/>
        <w:jc w:val="both"/>
        <w:rPr>
          <w:rFonts w:ascii="Times New Roman" w:eastAsia="Times New Roman" w:hAnsi="Times New Roman"/>
          <w:szCs w:val="24"/>
          <w:lang w:val="hr-HR"/>
        </w:rPr>
      </w:pPr>
    </w:p>
    <w:tbl>
      <w:tblPr>
        <w:tblW w:w="1044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850"/>
        <w:gridCol w:w="851"/>
        <w:gridCol w:w="992"/>
        <w:gridCol w:w="851"/>
        <w:gridCol w:w="850"/>
        <w:gridCol w:w="851"/>
        <w:gridCol w:w="1226"/>
      </w:tblGrid>
      <w:tr w:rsidR="00DF4B94" w:rsidTr="0060249D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lastRenderedPageBreak/>
              <w:t>Sekcija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center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>Broj Bodova 0 - 100</w:t>
            </w:r>
          </w:p>
          <w:p w:rsidR="00DF4B94" w:rsidRDefault="00DF4B94" w:rsidP="0060249D">
            <w:pPr>
              <w:spacing w:after="120"/>
              <w:ind w:left="57"/>
              <w:jc w:val="center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center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>Bodovi</w:t>
            </w:r>
          </w:p>
          <w:p w:rsidR="00DF4B94" w:rsidRDefault="00DF4B94" w:rsidP="0060249D">
            <w:pPr>
              <w:spacing w:after="120"/>
              <w:ind w:left="57"/>
              <w:jc w:val="center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>članova Komisije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 xml:space="preserve">Ukupan broj </w:t>
            </w:r>
          </w:p>
          <w:p w:rsidR="00DF4B94" w:rsidRDefault="00DF4B94" w:rsidP="0060249D">
            <w:pPr>
              <w:spacing w:after="120"/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>bodova</w:t>
            </w: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>Član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200" w:line="276" w:lineRule="auto"/>
              <w:jc w:val="center"/>
            </w:pPr>
            <w:r>
              <w:rPr>
                <w:rStyle w:val="Zadanifontodlomka"/>
                <w:rFonts w:ascii="Times New Roman" w:eastAsia="Times New Roman" w:hAnsi="Times New Roman"/>
                <w:b/>
                <w:szCs w:val="24"/>
                <w:lang w:val="hr-HR"/>
              </w:rPr>
              <w:t>Član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200" w:line="276" w:lineRule="auto"/>
              <w:jc w:val="center"/>
            </w:pPr>
            <w:r>
              <w:rPr>
                <w:rStyle w:val="Zadanifontodlomka"/>
                <w:rFonts w:ascii="Times New Roman" w:eastAsia="Times New Roman" w:hAnsi="Times New Roman"/>
                <w:b/>
                <w:szCs w:val="24"/>
                <w:lang w:val="hr-HR"/>
              </w:rPr>
              <w:t>Član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200" w:line="276" w:lineRule="auto"/>
              <w:jc w:val="center"/>
            </w:pPr>
            <w:r>
              <w:rPr>
                <w:rStyle w:val="Zadanifontodlomka"/>
                <w:rFonts w:ascii="Times New Roman" w:eastAsia="Times New Roman" w:hAnsi="Times New Roman"/>
                <w:b/>
                <w:szCs w:val="24"/>
                <w:lang w:val="hr-HR"/>
              </w:rPr>
              <w:t>Član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200" w:line="276" w:lineRule="auto"/>
              <w:jc w:val="center"/>
            </w:pPr>
            <w:r>
              <w:rPr>
                <w:rStyle w:val="Zadanifontodlomka"/>
                <w:rFonts w:ascii="Times New Roman" w:eastAsia="Times New Roman" w:hAnsi="Times New Roman"/>
                <w:b/>
                <w:szCs w:val="24"/>
                <w:lang w:val="hr-HR"/>
              </w:rPr>
              <w:t>Član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200" w:line="276" w:lineRule="auto"/>
              <w:jc w:val="center"/>
            </w:pPr>
            <w:r>
              <w:rPr>
                <w:rStyle w:val="Zadanifontodlomka"/>
                <w:rFonts w:ascii="Times New Roman" w:eastAsia="Times New Roman" w:hAnsi="Times New Roman"/>
                <w:b/>
                <w:szCs w:val="24"/>
                <w:lang w:val="hr-HR"/>
              </w:rPr>
              <w:t>Član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200" w:line="276" w:lineRule="auto"/>
            </w:pPr>
            <w:r>
              <w:rPr>
                <w:rStyle w:val="Zadanifontodlomka"/>
                <w:rFonts w:ascii="Times New Roman" w:eastAsia="Times New Roman" w:hAnsi="Times New Roman"/>
                <w:b/>
                <w:szCs w:val="24"/>
                <w:lang w:val="hr-HR"/>
              </w:rPr>
              <w:t>Član 7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1.Tematski kriteriji </w:t>
            </w:r>
          </w:p>
          <w:p w:rsidR="00DF4B94" w:rsidRDefault="00DF4B94" w:rsidP="0060249D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 xml:space="preserve">Cilj projekta doprinosi ispunjavanju ciljeva definisanih u strateškim i programsk im dokumenatima za oblast HIV-a, tuberkuloze, i zavisnosti u Bosni i Hercegovini. </w:t>
            </w:r>
          </w:p>
          <w:p w:rsidR="00DF4B94" w:rsidRDefault="00DF4B94" w:rsidP="0060249D">
            <w:pPr>
              <w:spacing w:after="120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Projekat omogućava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teško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dostupnim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skupinama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skupinama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pod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povećanim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rizikom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pristup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preventivnim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promotivnim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aktivnostima</w:t>
            </w:r>
            <w:proofErr w:type="spellEnd"/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4B94" w:rsidRDefault="00DF4B94" w:rsidP="0060249D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Rezultati projekta pružaju podršku ispunjavanju  međunarodnih obaveza Bosne i Hercegovine.</w:t>
            </w:r>
          </w:p>
          <w:p w:rsidR="00DF4B94" w:rsidRDefault="00DF4B94" w:rsidP="0060249D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Projekat doprinosi borbi protiv stigme i diskriminacije.</w:t>
            </w:r>
          </w:p>
          <w:p w:rsidR="00DF4B94" w:rsidRDefault="00DF4B94" w:rsidP="0060249D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DF4B94" w:rsidRDefault="00DF4B94" w:rsidP="0060249D">
            <w:pPr>
              <w:spacing w:after="120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Projekat omogućava stvaranje uslova za partnerstvo </w:t>
            </w:r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  <w:lang w:val="hr-HR"/>
              </w:rPr>
              <w:lastRenderedPageBreak/>
              <w:t>organizacija civilnog društva koje sudjeluju u navedenim oblastima na teritoriji Bosne i Hercegovine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rPr>
                <w:rFonts w:ascii="Times New Roman" w:eastAsia="Times New Roman" w:hAnsi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Cs w:val="24"/>
                <w:lang w:val="hr-HR"/>
              </w:rPr>
              <w:lastRenderedPageBreak/>
              <w:t>0-60 bodova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  <w:t>2. Finansijski i operativni kapaciteti aplikanta</w:t>
            </w:r>
          </w:p>
          <w:p w:rsidR="00DF4B94" w:rsidRDefault="00DF4B94" w:rsidP="0060249D">
            <w:pPr>
              <w:spacing w:after="120"/>
              <w:ind w:left="57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  <w:lang w:val="hr-HR"/>
              </w:rPr>
              <w:t xml:space="preserve">Da li aplikant i relevantni partneri imaju dovoljno kapaciteta za </w:t>
            </w:r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  <w:lang w:val="hr-HR"/>
              </w:rPr>
              <w:t>upravljanje predloženim projektom (uključujući broj stalno zaposlenih, opremu, te period iskustva od osnivanja do danas)?</w:t>
            </w:r>
          </w:p>
          <w:p w:rsidR="00DF4B94" w:rsidRDefault="00DF4B94" w:rsidP="0060249D">
            <w:pPr>
              <w:spacing w:after="120"/>
              <w:ind w:left="57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4"/>
                <w:lang w:val="hr-HR"/>
              </w:rPr>
              <w:t>Da li aplikant i njegovi eventualni partneri imaju dovoljno stručnog kapaciteta za provedbu projekta? Suradnja sa drugim partnerima u svrhu postizanja ciljeva?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jc w:val="both"/>
              <w:rPr>
                <w:rFonts w:ascii="Times New Roman" w:eastAsia="Times New Roman" w:hAnsi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Cs w:val="24"/>
                <w:lang w:val="hr-HR"/>
              </w:rPr>
              <w:t>0-10 bodova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  <w:t>3. Relevantnost projekta</w:t>
            </w:r>
          </w:p>
          <w:p w:rsidR="00DF4B94" w:rsidRDefault="00DF4B94" w:rsidP="0060249D">
            <w:pPr>
              <w:spacing w:after="120"/>
              <w:ind w:left="57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  <w:lang w:val="hr-HR"/>
              </w:rPr>
              <w:t xml:space="preserve">Koliko je prijedlog projekta usklađen sa strateškim, programskim i </w:t>
            </w: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  <w:lang w:val="hr-HR"/>
              </w:rPr>
              <w:lastRenderedPageBreak/>
              <w:t>planskim dokumentima u području HIV/TB</w:t>
            </w: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</w:rPr>
              <w:t>?</w:t>
            </w:r>
          </w:p>
          <w:p w:rsidR="00DF4B94" w:rsidRDefault="00DF4B94" w:rsidP="0060249D">
            <w:pPr>
              <w:spacing w:after="120"/>
              <w:ind w:left="57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  <w:lang w:val="hr-HR"/>
              </w:rPr>
              <w:t>U kojoj mjeri projekat promoviše dodatne vrijednosti kao što su ljudska prava, ravnopravnost spolova, rad sa mladima i sl.?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jc w:val="both"/>
              <w:rPr>
                <w:rFonts w:ascii="Times New Roman" w:eastAsia="Times New Roman" w:hAnsi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Cs w:val="24"/>
                <w:lang w:val="hr-HR"/>
              </w:rPr>
              <w:lastRenderedPageBreak/>
              <w:t>0-10 bodova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  <w:t>4. Efektivnost i izvodljivost aktivnosti</w:t>
            </w:r>
          </w:p>
          <w:p w:rsidR="00DF4B94" w:rsidRDefault="00DF4B94" w:rsidP="0060249D">
            <w:pPr>
              <w:spacing w:after="120"/>
              <w:ind w:left="57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  <w:lang w:val="hr-HR"/>
              </w:rPr>
              <w:t>U kojoj mjeri su predložene aktivnosti prikladne, praktične, realistično postavljene i u skladu sa postavljenim ciljevima i rezultatima?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Cs w:val="24"/>
                <w:lang w:val="hr-HR"/>
              </w:rPr>
              <w:t>0-5 bodova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  <w:t>5. Održivost aktivnosti i ciljeva</w:t>
            </w:r>
          </w:p>
          <w:p w:rsidR="00DF4B94" w:rsidRDefault="00DF4B94" w:rsidP="0060249D">
            <w:pPr>
              <w:spacing w:after="120"/>
              <w:ind w:left="57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  <w:lang w:val="hr-HR"/>
              </w:rPr>
              <w:t>U kojoj mjeri su projektne aktivnosti održive u finansijskom i/ili institucionalnom smislu?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jc w:val="both"/>
              <w:rPr>
                <w:rFonts w:ascii="Times New Roman" w:eastAsia="Times New Roman" w:hAnsi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Cs w:val="24"/>
                <w:lang w:val="hr-HR"/>
              </w:rPr>
              <w:t>0-5 bodova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hr-HR"/>
              </w:rPr>
              <w:t>6. Budžet i troškovna efektivnost aktivnosti</w:t>
            </w:r>
          </w:p>
          <w:p w:rsidR="00DF4B94" w:rsidRDefault="00DF4B94" w:rsidP="0060249D">
            <w:pPr>
              <w:spacing w:after="120"/>
              <w:ind w:left="57"/>
              <w:rPr>
                <w:rFonts w:ascii="Times New Roman" w:eastAsia="Times New Roman" w:hAnsi="Times New Roman"/>
                <w:sz w:val="24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hr-HR"/>
              </w:rPr>
              <w:t xml:space="preserve">Aktivnosti odgovaraju </w:t>
            </w:r>
            <w:r>
              <w:rPr>
                <w:rFonts w:ascii="Times New Roman" w:eastAsia="Times New Roman" w:hAnsi="Times New Roman"/>
                <w:sz w:val="24"/>
                <w:szCs w:val="28"/>
                <w:lang w:val="hr-HR"/>
              </w:rPr>
              <w:lastRenderedPageBreak/>
              <w:t>vrijednosti projekta?</w:t>
            </w:r>
          </w:p>
          <w:p w:rsidR="00DF4B94" w:rsidRDefault="00DF4B94" w:rsidP="0060249D">
            <w:pPr>
              <w:spacing w:after="120"/>
              <w:ind w:left="57"/>
              <w:rPr>
                <w:rFonts w:ascii="Times New Roman" w:eastAsia="Times New Roman" w:hAnsi="Times New Roman"/>
                <w:sz w:val="24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hr-HR"/>
              </w:rPr>
              <w:t>U kojoj mjeri je odnos očekivanog troška i očekivanog rezultata zadovoljavajući?</w:t>
            </w:r>
          </w:p>
          <w:p w:rsidR="00DF4B94" w:rsidRDefault="00DF4B94" w:rsidP="0060249D">
            <w:pPr>
              <w:spacing w:after="120"/>
              <w:ind w:left="57"/>
            </w:pPr>
            <w:r>
              <w:rPr>
                <w:rStyle w:val="Zadanifontodlomka"/>
                <w:rFonts w:ascii="Times New Roman" w:eastAsia="Times New Roman" w:hAnsi="Times New Roman"/>
                <w:sz w:val="24"/>
                <w:szCs w:val="28"/>
                <w:lang w:val="hr-HR"/>
              </w:rPr>
              <w:t>U kojoj mjeri je projekat sufinansiran iz drugih izvora?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Cs w:val="24"/>
                <w:lang w:val="hr-HR"/>
              </w:rPr>
              <w:lastRenderedPageBreak/>
              <w:t>0-10 bodova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  <w:tr w:rsidR="00DF4B94" w:rsidTr="0060249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hr-HR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94" w:rsidRDefault="00DF4B94" w:rsidP="0060249D">
            <w:pPr>
              <w:spacing w:after="120"/>
              <w:ind w:left="57"/>
              <w:jc w:val="both"/>
              <w:rPr>
                <w:rFonts w:ascii="Times New Roman" w:eastAsia="Times New Roman" w:hAnsi="Times New Roman"/>
                <w:b/>
                <w:szCs w:val="24"/>
                <w:lang w:val="hr-HR"/>
              </w:rPr>
            </w:pPr>
          </w:p>
        </w:tc>
      </w:tr>
    </w:tbl>
    <w:p w:rsidR="00DF4B94" w:rsidRDefault="00DF4B94" w:rsidP="00DF4B94">
      <w:pPr>
        <w:spacing w:after="120"/>
        <w:ind w:left="57"/>
        <w:jc w:val="both"/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spacing w:after="0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Evaluacijsku tabelu, pojedinačno za svaku aplikaciju, svojim potpisom ovjerava svaki član Komisije:</w:t>
      </w:r>
    </w:p>
    <w:p w:rsidR="00DF4B94" w:rsidRDefault="00DF4B94" w:rsidP="00DF4B94">
      <w:pPr>
        <w:spacing w:after="0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</w:p>
    <w:p w:rsidR="00DF4B94" w:rsidRDefault="00DF4B94" w:rsidP="00DF4B94">
      <w:pPr>
        <w:spacing w:after="0" w:line="360" w:lineRule="auto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Član 1  ___________________________</w:t>
      </w:r>
    </w:p>
    <w:p w:rsidR="00DF4B94" w:rsidRDefault="00DF4B94" w:rsidP="00DF4B94">
      <w:pPr>
        <w:spacing w:after="0" w:line="360" w:lineRule="auto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Član 2 ____________________________</w:t>
      </w:r>
    </w:p>
    <w:p w:rsidR="00DF4B94" w:rsidRDefault="00DF4B94" w:rsidP="00DF4B94">
      <w:pPr>
        <w:spacing w:after="0" w:line="360" w:lineRule="auto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Član 3  ___________________________</w:t>
      </w:r>
    </w:p>
    <w:p w:rsidR="00DF4B94" w:rsidRDefault="00DF4B94" w:rsidP="00DF4B94">
      <w:pPr>
        <w:spacing w:after="0" w:line="360" w:lineRule="auto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Član 4 ____________________________</w:t>
      </w:r>
    </w:p>
    <w:p w:rsidR="00DF4B94" w:rsidRDefault="00DF4B94" w:rsidP="00DF4B94">
      <w:pPr>
        <w:spacing w:after="0" w:line="360" w:lineRule="auto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Član 5  ___________________________</w:t>
      </w:r>
    </w:p>
    <w:p w:rsidR="00DF4B94" w:rsidRDefault="00DF4B94" w:rsidP="00DF4B94">
      <w:pPr>
        <w:spacing w:after="0" w:line="360" w:lineRule="auto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Član 6 ____________________________</w:t>
      </w:r>
    </w:p>
    <w:p w:rsidR="00DF4B94" w:rsidRDefault="00DF4B94" w:rsidP="00DF4B94">
      <w:pPr>
        <w:spacing w:after="0" w:line="360" w:lineRule="auto"/>
        <w:ind w:left="57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Član 7  ___________________________</w:t>
      </w:r>
    </w:p>
    <w:p w:rsidR="00DF4B94" w:rsidRDefault="00DF4B94" w:rsidP="00DF4B9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</w:p>
    <w:p w:rsidR="00DF4B94" w:rsidRDefault="00DF4B94" w:rsidP="00DF4B94">
      <w:pPr>
        <w:spacing w:after="200" w:line="276" w:lineRule="auto"/>
        <w:jc w:val="both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>Svaku aplikaciju boduju svi članovi Komisije prema Evaluacijskom obrascu, iz kojeg su vidljive ocjene svih članova Komisije. Najmanji i najveći broj bodova se odbacuje. Preostali bodovi se sabiraju i dijele sa pet i daju rezultat - ukupan broj bodova. Na osnovu ukupnog broja bodova formira se rang lista. U skladu sa rang listom i prihvatljivim troškovima u okviru utroška sredstava aplikanta, Komisija predlaže iznos sredstava za raspored vodeći računa da se za raspoređena sredstva mogu realizovati aktivnosti, postići određeni rezultati i ostvariti postavljeni cilj.</w:t>
      </w:r>
    </w:p>
    <w:p w:rsidR="00DF4B94" w:rsidRDefault="00DF4B94" w:rsidP="00DF4B94">
      <w:pPr>
        <w:spacing w:after="120" w:line="276" w:lineRule="auto"/>
        <w:jc w:val="both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 xml:space="preserve">Ako je ukupni broj bodova manji od </w:t>
      </w:r>
      <w:r>
        <w:rPr>
          <w:rStyle w:val="Zadanifontodlomka"/>
          <w:rFonts w:ascii="Times New Roman" w:eastAsia="Times New Roman" w:hAnsi="Times New Roman"/>
          <w:b/>
          <w:sz w:val="24"/>
          <w:szCs w:val="28"/>
          <w:lang w:val="hr-HR"/>
        </w:rPr>
        <w:t>55</w:t>
      </w: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>, aplikacija neće biti finansijski podržana.</w:t>
      </w:r>
    </w:p>
    <w:p w:rsidR="00DF4B94" w:rsidRDefault="00DF4B94" w:rsidP="00DF4B94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 xml:space="preserve">Nakon evaluacije, biće kreirana lista aplikacija sa 55 i više bodova sa pripadajućim brojem bodova (silaznim redoslijedom), ukupnim odobrenim utroškom sredstava i silaznim kumulativnim iznosom utroška sredstava. </w:t>
      </w:r>
    </w:p>
    <w:p w:rsidR="00DF4B94" w:rsidRDefault="00DF4B94" w:rsidP="00DF4B94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U zavisnosti od dostupnih sredstava, odabrat će se oni projekti za finansijsku podršku sa te liste, kod kojih je silazni kumulativni iznos utroška sredstava manji od dostupnih sredstava.</w:t>
      </w:r>
    </w:p>
    <w:p w:rsidR="00DF4B94" w:rsidRDefault="00DF4B94" w:rsidP="00DF4B94">
      <w:pPr>
        <w:spacing w:after="120" w:line="276" w:lineRule="auto"/>
        <w:jc w:val="both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lastRenderedPageBreak/>
        <w:t>Nakon donošenja odluke o rasporedu sredstava, Odluka se objavljuje na web stranici Ministarstva civilnih poslova i Službenom glasniku BiH, te će organizaciji / ustanovi čiji je projekt odobren biti ponuđen ugovor.</w:t>
      </w: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DF4B94" w:rsidRDefault="00DF4B94" w:rsidP="00DF4B94">
      <w:pPr>
        <w:rPr>
          <w:rFonts w:ascii="Times New Roman" w:eastAsia="Times New Roman" w:hAnsi="Times New Roman"/>
          <w:szCs w:val="24"/>
          <w:lang w:val="hr-HR"/>
        </w:rPr>
      </w:pPr>
    </w:p>
    <w:p w:rsidR="00E66EF7" w:rsidRDefault="00E66EF7"/>
    <w:sectPr w:rsidR="00E66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0E68"/>
    <w:multiLevelType w:val="multilevel"/>
    <w:tmpl w:val="C52A8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6053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94"/>
    <w:rsid w:val="00DF4B94"/>
    <w:rsid w:val="00E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B384-2C6A-4F65-9D00-B06A274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9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DF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Džihanić</dc:creator>
  <cp:keywords/>
  <dc:description/>
  <cp:lastModifiedBy>Dina Džihanić</cp:lastModifiedBy>
  <cp:revision>1</cp:revision>
  <dcterms:created xsi:type="dcterms:W3CDTF">2023-08-04T09:25:00Z</dcterms:created>
  <dcterms:modified xsi:type="dcterms:W3CDTF">2023-08-04T09:26:00Z</dcterms:modified>
</cp:coreProperties>
</file>